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Engelsk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15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bruke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varierte strategier i språklæring, tekstskaping og kommunikasjon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bruke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ulike digitale ressurser og andre hjelpemidler i språklæring, tekstskaping og samhandling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bruke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sentrale mønstre for uttale i kommunikasjon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lytte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til og </w:t>
            </w:r>
            <w:r w:rsidDel="00000000" w:rsidR="00000000" w:rsidRPr="00000000">
              <w:rPr>
                <w:color w:val="303030"/>
                <w:rtl w:val="0"/>
              </w:rPr>
              <w:t xml:space="preserve">forstå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ord og uttrykk i varianter av engelsk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uttrykke seg med flyt og sammenheng med et variert ordforråd og idiomatiske uttrykk tilpasset formål, mottaker og situasjon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introduserer begrepet “idiomatisk uttrykk” i tiende.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stille spørsmål og følge opp innspill i samtaler om ulike emner tilpasset ulike formål, mottakere og situasjoner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utforske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og </w:t>
            </w:r>
            <w:r w:rsidDel="00000000" w:rsidR="00000000" w:rsidRPr="00000000">
              <w:rPr>
                <w:color w:val="303030"/>
                <w:rtl w:val="0"/>
              </w:rPr>
              <w:t xml:space="preserve">beskrive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noen språklige likheter og ulikheter mellom engelsk og andre språk eleven kjenner til, og </w:t>
            </w:r>
            <w:r w:rsidDel="00000000" w:rsidR="00000000" w:rsidRPr="00000000">
              <w:rPr>
                <w:color w:val="303030"/>
                <w:rtl w:val="0"/>
              </w:rPr>
              <w:t xml:space="preserve">bruke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dette i egen språklæring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bruke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kunnskap om ordklasser og setningsstruktur i arbeid med egne muntlige og skriftlige tekster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starter med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ordklasser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følge regler for rettskriving, ordbøying, setningsstruktur og tekststruktur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lese, diskutere og videreformidle innhold fra ulike typer tekster, inkludert selvvalgte tekster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Starte med å skape trygghet i forhold til å tørre å diskutere og videreformidle muntlig i klassen.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lese, </w:t>
            </w:r>
            <w:r w:rsidDel="00000000" w:rsidR="00000000" w:rsidRPr="00000000">
              <w:rPr>
                <w:color w:val="303030"/>
                <w:rtl w:val="0"/>
              </w:rPr>
              <w:t xml:space="preserve">tolke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og </w:t>
            </w:r>
            <w:r w:rsidDel="00000000" w:rsidR="00000000" w:rsidRPr="00000000">
              <w:rPr>
                <w:color w:val="303030"/>
                <w:rtl w:val="0"/>
              </w:rPr>
              <w:t xml:space="preserve">reflektere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lese sakprosatekster og </w:t>
            </w:r>
            <w:r w:rsidDel="00000000" w:rsidR="00000000" w:rsidRPr="00000000">
              <w:rPr>
                <w:color w:val="303030"/>
                <w:rtl w:val="0"/>
              </w:rPr>
              <w:t xml:space="preserve">vurdere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hvor pålitelige kildene 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rtl w:val="0"/>
              </w:rPr>
              <w:t xml:space="preserve">bruke kilder på en kritisk og etterrettelig måte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skrive formelle og uformelle tekster, inkludert sammensatte, med struktur og sammenheng som beskriver, forteller og reflekterer tilpasset formål, mottaker og situasjon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bearbeide egne tekster ut fra tilbakemeldinger og kunnskap om språk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beskrive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og </w:t>
            </w:r>
            <w:r w:rsidDel="00000000" w:rsidR="00000000" w:rsidRPr="00000000">
              <w:rPr>
                <w:color w:val="303030"/>
                <w:rtl w:val="0"/>
              </w:rPr>
              <w:t xml:space="preserve">reflektere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over rollen engelsk har i Norge og i verden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utforske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og </w:t>
            </w:r>
            <w:r w:rsidDel="00000000" w:rsidR="00000000" w:rsidRPr="00000000">
              <w:rPr>
                <w:color w:val="303030"/>
                <w:rtl w:val="0"/>
              </w:rPr>
              <w:t xml:space="preserve">reflektere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over situasjonen til urfolk i den engelskspråklige verden og i Norge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 ;)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under ;)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utforske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og </w:t>
            </w:r>
            <w:r w:rsidDel="00000000" w:rsidR="00000000" w:rsidRPr="00000000">
              <w:rPr>
                <w:color w:val="303030"/>
                <w:rtl w:val="0"/>
              </w:rPr>
              <w:t xml:space="preserve">beskrive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levemåter, tenkesett, kommunikasjonsmønstre og mangfold i den engelskspråklige verden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over ;)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hd w:fill="ffffff" w:val="clear"/>
              <w:spacing w:after="0" w:before="0" w:line="240" w:lineRule="auto"/>
              <w:ind w:left="-80" w:right="-80" w:firstLine="0"/>
              <w:rPr/>
            </w:pPr>
            <w:r w:rsidDel="00000000" w:rsidR="00000000" w:rsidRPr="00000000">
              <w:rPr>
                <w:color w:val="303030"/>
                <w:rtl w:val="0"/>
              </w:rPr>
              <w:t xml:space="preserve">utforske </w:t>
            </w:r>
            <w:r w:rsidDel="00000000" w:rsidR="00000000" w:rsidRPr="00000000">
              <w:rPr>
                <w:color w:val="303030"/>
                <w:highlight w:val="white"/>
                <w:rtl w:val="0"/>
              </w:rPr>
              <w:t xml:space="preserve">og videreformidle innhold i engelskspråklige kulturelle uttrykksformer fra ulike medier knyttet til egne interesser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5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10. trinn</w:t>
          </w:r>
        </w:p>
        <w:p w:rsidR="00000000" w:rsidDel="00000000" w:rsidP="00000000" w:rsidRDefault="00000000" w:rsidRPr="00000000" w14:paraId="000000B6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7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B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E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0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C1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C2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3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5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6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7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A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